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01879" w14:textId="77777777" w:rsidR="00977E0A" w:rsidRPr="00245446" w:rsidRDefault="00977E0A" w:rsidP="00977E0A">
      <w:pPr>
        <w:widowControl/>
        <w:shd w:val="clear" w:color="auto" w:fill="FFFFFF"/>
        <w:spacing w:line="720" w:lineRule="atLeast"/>
        <w:jc w:val="center"/>
        <w:outlineLvl w:val="0"/>
        <w:rPr>
          <w:rFonts w:ascii="宋体" w:eastAsia="宋体" w:hAnsi="宋体" w:cs="宋体"/>
          <w:b/>
          <w:bCs/>
          <w:kern w:val="36"/>
          <w:sz w:val="30"/>
          <w:szCs w:val="30"/>
        </w:rPr>
      </w:pPr>
      <w:bookmarkStart w:id="0" w:name="_GoBack"/>
      <w:r w:rsidRPr="00977E0A">
        <w:rPr>
          <w:rFonts w:ascii="宋体" w:eastAsia="宋体" w:hAnsi="宋体" w:cs="宋体" w:hint="eastAsia"/>
          <w:b/>
          <w:bCs/>
          <w:kern w:val="36"/>
          <w:sz w:val="30"/>
          <w:szCs w:val="30"/>
        </w:rPr>
        <w:t>立中集团(300428)：4Q24盈利</w:t>
      </w:r>
      <w:proofErr w:type="gramStart"/>
      <w:r w:rsidRPr="00977E0A">
        <w:rPr>
          <w:rFonts w:ascii="宋体" w:eastAsia="宋体" w:hAnsi="宋体" w:cs="宋体" w:hint="eastAsia"/>
          <w:b/>
          <w:bCs/>
          <w:kern w:val="36"/>
          <w:sz w:val="30"/>
          <w:szCs w:val="30"/>
        </w:rPr>
        <w:t>能力环</w:t>
      </w:r>
      <w:proofErr w:type="gramEnd"/>
      <w:r w:rsidRPr="00977E0A">
        <w:rPr>
          <w:rFonts w:ascii="宋体" w:eastAsia="宋体" w:hAnsi="宋体" w:cs="宋体" w:hint="eastAsia"/>
          <w:b/>
          <w:bCs/>
          <w:kern w:val="36"/>
          <w:sz w:val="30"/>
          <w:szCs w:val="30"/>
        </w:rPr>
        <w:t>比修复；</w:t>
      </w:r>
    </w:p>
    <w:p w14:paraId="736F04A3" w14:textId="4A9EE8A7" w:rsidR="00977E0A" w:rsidRPr="00977E0A" w:rsidRDefault="00977E0A" w:rsidP="00977E0A">
      <w:pPr>
        <w:widowControl/>
        <w:shd w:val="clear" w:color="auto" w:fill="FFFFFF"/>
        <w:spacing w:line="720" w:lineRule="atLeast"/>
        <w:jc w:val="center"/>
        <w:outlineLvl w:val="0"/>
        <w:rPr>
          <w:rFonts w:ascii="宋体" w:eastAsia="宋体" w:hAnsi="宋体" w:cs="宋体"/>
          <w:b/>
          <w:bCs/>
          <w:kern w:val="36"/>
          <w:sz w:val="30"/>
          <w:szCs w:val="30"/>
        </w:rPr>
      </w:pPr>
      <w:r w:rsidRPr="00977E0A">
        <w:rPr>
          <w:rFonts w:ascii="宋体" w:eastAsia="宋体" w:hAnsi="宋体" w:cs="宋体" w:hint="eastAsia"/>
          <w:b/>
          <w:bCs/>
          <w:kern w:val="36"/>
          <w:sz w:val="30"/>
          <w:szCs w:val="30"/>
        </w:rPr>
        <w:t>新兴产业布局加速</w:t>
      </w:r>
    </w:p>
    <w:bookmarkEnd w:id="0"/>
    <w:p w14:paraId="7037CCF4" w14:textId="77777777" w:rsidR="00977E0A" w:rsidRPr="00977E0A" w:rsidRDefault="00977E0A" w:rsidP="00977E0A">
      <w:pPr>
        <w:spacing w:beforeLines="50" w:before="156" w:afterLines="50" w:after="156" w:line="480" w:lineRule="exact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977E0A">
        <w:rPr>
          <w:rFonts w:ascii="宋体" w:eastAsia="宋体" w:hAnsi="宋体" w:hint="eastAsia"/>
          <w:b/>
          <w:bCs/>
          <w:sz w:val="24"/>
          <w:szCs w:val="24"/>
          <w:shd w:val="clear" w:color="auto" w:fill="FFFFFF"/>
        </w:rPr>
        <w:t>2024 年业绩符合我们预期</w:t>
      </w:r>
    </w:p>
    <w:p w14:paraId="38AEDA77" w14:textId="5635FD00" w:rsidR="00977E0A" w:rsidRPr="00977E0A" w:rsidRDefault="00977E0A" w:rsidP="00977E0A">
      <w:pPr>
        <w:spacing w:beforeLines="50" w:before="156" w:afterLines="50" w:after="156" w:line="48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2024 年实现营业收入272.5 亿元，同比+16.6%；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归母净利润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7.1 亿元，同比+16.8%；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扣非净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 xml:space="preserve">利润6.1 亿元，同比增长17.1%。对应4Q24 收入78.77亿元， 同环比+26.3%/+14.9% ， 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归母净利润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2.14 亿元， 同环比+11.7%/+92.5%，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扣非净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利润1.73 亿元，同环比-0.2%/+1.0%。2024 年业绩符合我们预期。</w:t>
      </w:r>
    </w:p>
    <w:p w14:paraId="4A694CEE" w14:textId="77777777" w:rsidR="00977E0A" w:rsidRPr="00977E0A" w:rsidRDefault="00977E0A" w:rsidP="00977E0A">
      <w:pPr>
        <w:spacing w:beforeLines="50" w:before="156" w:afterLines="50" w:after="156" w:line="480" w:lineRule="exact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977E0A">
        <w:rPr>
          <w:rFonts w:ascii="宋体" w:eastAsia="宋体" w:hAnsi="宋体" w:hint="eastAsia"/>
          <w:b/>
          <w:bCs/>
          <w:sz w:val="24"/>
          <w:szCs w:val="24"/>
          <w:shd w:val="clear" w:color="auto" w:fill="FFFFFF"/>
        </w:rPr>
        <w:t>发展趋势</w:t>
      </w:r>
    </w:p>
    <w:p w14:paraId="3F8F7FFA" w14:textId="77777777" w:rsidR="00977E0A" w:rsidRPr="00977E0A" w:rsidRDefault="00977E0A" w:rsidP="00977E0A">
      <w:pPr>
        <w:spacing w:beforeLines="50" w:before="156" w:afterLines="50" w:after="156" w:line="480" w:lineRule="exact"/>
        <w:ind w:firstLineChars="200" w:firstLine="480"/>
        <w:rPr>
          <w:rFonts w:ascii="宋体" w:eastAsia="宋体" w:hAnsi="宋体"/>
          <w:sz w:val="24"/>
          <w:szCs w:val="24"/>
        </w:rPr>
      </w:pP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中美车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 xml:space="preserve">市修复，带动4Q24 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营收同环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比增长。我们认为4Q24 营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收增长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主要得益于1）铝价上涨：A00 铝锭 24 年均价同比+6.7%，4Q24 均价同环比+8.1%/+5.1%；2）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中美车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市向好，据</w:t>
      </w:r>
      <w:proofErr w:type="spell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MarkLines</w:t>
      </w:r>
      <w:proofErr w:type="spell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，4Q24 国内乘用车销量同环比+10.8%/+31.9%，美国乘用车销量同环比+7.3%/8.5%。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分业务看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，铸造铝合金/ 车轮/ 中间合金/ 其他营收150.1/87.9/21.0/11.7 亿元， 同比+25.3%/+3.8%/+12.6%/+29.0%，铸造铝合金业务增速较快，主要得益于汽车轻量化加速渗透。展望来年,我们认为，伴随墨西哥和泰国工厂持续爬坡、国内包头保定中间合金工厂产能持续提升，公司主业有望维持稳健增长。</w:t>
      </w:r>
    </w:p>
    <w:p w14:paraId="66F0F0B7" w14:textId="77777777" w:rsidR="00977E0A" w:rsidRPr="00977E0A" w:rsidRDefault="00977E0A" w:rsidP="00977E0A">
      <w:pPr>
        <w:spacing w:beforeLines="50" w:before="156" w:afterLines="50" w:after="156" w:line="48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多因素带动4Q24 盈利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能力环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比修复。2024 年毛利率/净利率9.6%/2.6%，同比-0.9/0.0ppt；4Q24 毛利率/净利率9.3%/2.7%，同比-1.3/-0.4ppt；具体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分业务看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，铸造铝合金业务受益于相对高毛利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的免热合金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放量、规模效应、再生铝应用比例提升，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单吨盈利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从约160 元/吨提升至约230 元/吨；车轮毂业务海外爬坡以及汇率波动导致盈利能力相对承压。展望来年，我们认为，铸造铝合金业务产品结构持续优化，车轮毂业务海外产能利用率提升及汇兑影响减，公司盈利能力有望进一步修复。</w:t>
      </w:r>
    </w:p>
    <w:p w14:paraId="287F7C02" w14:textId="77777777" w:rsidR="00977E0A" w:rsidRPr="00977E0A" w:rsidRDefault="00977E0A" w:rsidP="00977E0A">
      <w:pPr>
        <w:spacing w:beforeLines="50" w:before="156" w:afterLines="50" w:after="156" w:line="48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铝合金材料纵深研发，新兴产业布局提速。1）免热处理合金，①新能源汽车一体压铸领域，2024/6/19 以及2024/11/20 分别获得某战略客户/某国有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大型车企定点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；②在机器人及无人机，正在欧洲某机器人关节转轴及国内某知名无</w:t>
      </w:r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lastRenderedPageBreak/>
        <w:t>人机的结构件上验证；2）可钎焊压铸铝合金，对接汽车热管理系统流道板上的验证和应用，并积极拓展储能、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算力中心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等领域；3）铝基稀土中间合金和航空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航天级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特种中间合金，已间接用于航空航天、低空经济；4）硅铝弥散复合新材料，用于芯片封装壳体及半导体设备零部件制造等领域。</w:t>
      </w:r>
    </w:p>
    <w:p w14:paraId="3AF48A55" w14:textId="77777777" w:rsidR="00977E0A" w:rsidRPr="00977E0A" w:rsidRDefault="00977E0A" w:rsidP="00977E0A">
      <w:pPr>
        <w:spacing w:beforeLines="50" w:before="156" w:afterLines="50" w:after="156" w:line="480" w:lineRule="exact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977E0A">
        <w:rPr>
          <w:rFonts w:ascii="宋体" w:eastAsia="宋体" w:hAnsi="宋体" w:hint="eastAsia"/>
          <w:b/>
          <w:bCs/>
          <w:sz w:val="24"/>
          <w:szCs w:val="24"/>
          <w:shd w:val="clear" w:color="auto" w:fill="FFFFFF"/>
        </w:rPr>
        <w:t>盈利预测与估值</w:t>
      </w:r>
    </w:p>
    <w:p w14:paraId="2AA19F6B" w14:textId="77777777" w:rsidR="00977E0A" w:rsidRPr="00977E0A" w:rsidRDefault="00977E0A" w:rsidP="00977E0A">
      <w:pPr>
        <w:spacing w:beforeLines="50" w:before="156" w:afterLines="50" w:after="156" w:line="48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 xml:space="preserve">考虑美国加关税对需求端短期负面影响，我们下调25 年盈利预测9.0%至8.6亿元，基本维持26 年盈利预测11.1 亿元，当前股价对应25/26 年 12.0/9.3xP/E </w:t>
      </w:r>
      <w:bookmarkStart w:id="1" w:name="OLE_LINK1"/>
      <w:bookmarkStart w:id="2" w:name="OLE_LINK2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维持跑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赢</w:t>
      </w:r>
      <w:bookmarkEnd w:id="1"/>
      <w:bookmarkEnd w:id="2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行业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评级，考虑汽车板块估值中枢提升，维持目标价21元 ，对应 25/26 年 15.5/12.0xP/E，</w:t>
      </w:r>
      <w:proofErr w:type="gramStart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较当前</w:t>
      </w:r>
      <w:proofErr w:type="gramEnd"/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股价有 28.8%的上行空间。</w:t>
      </w:r>
    </w:p>
    <w:p w14:paraId="7914AC19" w14:textId="77777777" w:rsidR="00977E0A" w:rsidRPr="00977E0A" w:rsidRDefault="00977E0A" w:rsidP="00977E0A">
      <w:pPr>
        <w:spacing w:beforeLines="50" w:before="156" w:afterLines="50" w:after="156" w:line="480" w:lineRule="exact"/>
        <w:ind w:firstLineChars="200" w:firstLine="482"/>
        <w:rPr>
          <w:rFonts w:ascii="宋体" w:eastAsia="宋体" w:hAnsi="宋体"/>
          <w:b/>
          <w:bCs/>
          <w:sz w:val="24"/>
          <w:szCs w:val="24"/>
        </w:rPr>
      </w:pPr>
      <w:r w:rsidRPr="00977E0A">
        <w:rPr>
          <w:rFonts w:ascii="宋体" w:eastAsia="宋体" w:hAnsi="宋体" w:hint="eastAsia"/>
          <w:b/>
          <w:bCs/>
          <w:sz w:val="24"/>
          <w:szCs w:val="24"/>
          <w:shd w:val="clear" w:color="auto" w:fill="FFFFFF"/>
        </w:rPr>
        <w:t>风险</w:t>
      </w:r>
    </w:p>
    <w:p w14:paraId="5101FA5D" w14:textId="263C79AD" w:rsidR="00ED041F" w:rsidRPr="00977E0A" w:rsidRDefault="00977E0A" w:rsidP="00977E0A">
      <w:pPr>
        <w:spacing w:beforeLines="50" w:before="156" w:afterLines="50" w:after="156" w:line="480" w:lineRule="exact"/>
        <w:ind w:firstLineChars="200" w:firstLine="480"/>
        <w:rPr>
          <w:rFonts w:ascii="宋体" w:eastAsia="宋体" w:hAnsi="宋体"/>
          <w:sz w:val="24"/>
          <w:szCs w:val="24"/>
        </w:rPr>
      </w:pPr>
      <w:r w:rsidRPr="00977E0A">
        <w:rPr>
          <w:rFonts w:ascii="宋体" w:eastAsia="宋体" w:hAnsi="宋体" w:hint="eastAsia"/>
          <w:sz w:val="24"/>
          <w:szCs w:val="24"/>
          <w:shd w:val="clear" w:color="auto" w:fill="FFFFFF"/>
        </w:rPr>
        <w:t>海外需求持续承压，关税摩擦风险，新技术渗透不及预期，汇兑风险。</w:t>
      </w:r>
    </w:p>
    <w:sectPr w:rsidR="00ED041F" w:rsidRPr="00977E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1E01B5" w14:textId="77777777" w:rsidR="00A85CEE" w:rsidRDefault="00A85CEE" w:rsidP="00245446">
      <w:r>
        <w:separator/>
      </w:r>
    </w:p>
  </w:endnote>
  <w:endnote w:type="continuationSeparator" w:id="0">
    <w:p w14:paraId="5AE8A50F" w14:textId="77777777" w:rsidR="00A85CEE" w:rsidRDefault="00A85CEE" w:rsidP="00245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118656" w14:textId="77777777" w:rsidR="00A85CEE" w:rsidRDefault="00A85CEE" w:rsidP="00245446">
      <w:r>
        <w:separator/>
      </w:r>
    </w:p>
  </w:footnote>
  <w:footnote w:type="continuationSeparator" w:id="0">
    <w:p w14:paraId="7A2D1382" w14:textId="77777777" w:rsidR="00A85CEE" w:rsidRDefault="00A85CEE" w:rsidP="002454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41F"/>
    <w:rsid w:val="00245446"/>
    <w:rsid w:val="006B6BDA"/>
    <w:rsid w:val="00977E0A"/>
    <w:rsid w:val="00A85CEE"/>
    <w:rsid w:val="00ED0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46B0AC"/>
  <w15:chartTrackingRefBased/>
  <w15:docId w15:val="{C68C7D90-7477-4FA3-B7D1-9E03537A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77E0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77E0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2454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4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54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54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2025-04-27T05:14:00Z</cp:lastPrinted>
  <dcterms:created xsi:type="dcterms:W3CDTF">2025-04-27T04:56:00Z</dcterms:created>
  <dcterms:modified xsi:type="dcterms:W3CDTF">2025-04-27T05:17:00Z</dcterms:modified>
</cp:coreProperties>
</file>